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948" w:tblpY="-20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05D7B" w:rsidRPr="00505D7B" w14:paraId="13C30484" w14:textId="77777777" w:rsidTr="00505D7B">
        <w:tc>
          <w:tcPr>
            <w:tcW w:w="5954" w:type="dxa"/>
          </w:tcPr>
          <w:p w14:paraId="414A9AB6" w14:textId="77777777" w:rsidR="00505D7B" w:rsidRPr="00505D7B" w:rsidRDefault="00505D7B" w:rsidP="00505D7B">
            <w:pPr>
              <w:widowControl w:val="0"/>
              <w:tabs>
                <w:tab w:val="right" w:pos="4727"/>
              </w:tabs>
              <w:autoSpaceDE w:val="0"/>
              <w:autoSpaceDN w:val="0"/>
              <w:adjustRightInd w:val="0"/>
              <w:ind w:left="-180" w:firstLine="180"/>
              <w:jc w:val="right"/>
              <w:rPr>
                <w:rFonts w:ascii="Verdana" w:hAnsi="Verdana" w:cs="Times-Roman"/>
                <w:b/>
                <w:bCs/>
                <w:sz w:val="36"/>
                <w:szCs w:val="36"/>
              </w:rPr>
            </w:pPr>
            <w:r w:rsidRPr="00505D7B">
              <w:rPr>
                <w:rFonts w:ascii="Verdana" w:hAnsi="Verdana" w:cs="Times-Roman"/>
              </w:rPr>
              <w:tab/>
            </w:r>
            <w:r w:rsidRPr="00505D7B">
              <w:rPr>
                <w:rFonts w:ascii="Verdana" w:hAnsi="Verdana" w:cs="Times-Roman"/>
                <w:b/>
                <w:bCs/>
                <w:sz w:val="36"/>
                <w:szCs w:val="36"/>
              </w:rPr>
              <w:t>Camberley Health Centre</w:t>
            </w:r>
          </w:p>
          <w:p w14:paraId="661E0D02" w14:textId="77777777" w:rsidR="00505D7B" w:rsidRPr="00505D7B" w:rsidRDefault="00505D7B" w:rsidP="00505D7B">
            <w:pPr>
              <w:widowControl w:val="0"/>
              <w:tabs>
                <w:tab w:val="right" w:pos="4727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imes-Roman"/>
                <w:sz w:val="28"/>
                <w:szCs w:val="28"/>
              </w:rPr>
            </w:pPr>
            <w:r w:rsidRPr="00505D7B">
              <w:rPr>
                <w:rFonts w:ascii="Verdana" w:hAnsi="Verdana" w:cs="Times-Roman"/>
                <w:sz w:val="28"/>
                <w:szCs w:val="28"/>
              </w:rPr>
              <w:t>Dr Fisher and Partners</w:t>
            </w:r>
          </w:p>
          <w:p w14:paraId="29E5FE37" w14:textId="77777777" w:rsidR="00505D7B" w:rsidRPr="00505D7B" w:rsidRDefault="00505D7B" w:rsidP="00505D7B">
            <w:pPr>
              <w:widowControl w:val="0"/>
              <w:tabs>
                <w:tab w:val="right" w:pos="4727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imes-Roman"/>
              </w:rPr>
            </w:pPr>
          </w:p>
          <w:p w14:paraId="77563A73" w14:textId="77777777" w:rsidR="00505D7B" w:rsidRPr="00505D7B" w:rsidRDefault="00505D7B" w:rsidP="00505D7B">
            <w:pPr>
              <w:widowControl w:val="0"/>
              <w:tabs>
                <w:tab w:val="right" w:pos="4781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imes-Roman"/>
                <w:sz w:val="19"/>
                <w:szCs w:val="19"/>
              </w:rPr>
            </w:pPr>
            <w:r w:rsidRPr="00505D7B">
              <w:rPr>
                <w:rFonts w:ascii="Verdana" w:hAnsi="Verdana" w:cs="Times-Roman"/>
                <w:sz w:val="19"/>
                <w:szCs w:val="19"/>
              </w:rPr>
              <w:t xml:space="preserve">159 Frimley Road, Camberley, Surrey, </w:t>
            </w:r>
            <w:r w:rsidRPr="00505D7B">
              <w:rPr>
                <w:rFonts w:ascii="Verdana" w:hAnsi="Verdana" w:cs="Times-Roman"/>
                <w:sz w:val="19"/>
                <w:szCs w:val="19"/>
              </w:rPr>
              <w:tab/>
              <w:t>GU15 2QA</w:t>
            </w:r>
          </w:p>
          <w:p w14:paraId="420D5001" w14:textId="77777777" w:rsidR="00505D7B" w:rsidRPr="00505D7B" w:rsidRDefault="00505D7B" w:rsidP="00505D7B">
            <w:pPr>
              <w:widowControl w:val="0"/>
              <w:tabs>
                <w:tab w:val="right" w:pos="4727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imes-Roman"/>
                <w:bCs/>
                <w:color w:val="19891C"/>
                <w:u w:val="single"/>
              </w:rPr>
            </w:pPr>
            <w:r w:rsidRPr="00505D7B">
              <w:rPr>
                <w:rFonts w:ascii="Verdana" w:hAnsi="Verdana" w:cs="Times-Roman"/>
                <w:b/>
                <w:sz w:val="20"/>
                <w:szCs w:val="20"/>
              </w:rPr>
              <w:tab/>
            </w:r>
            <w:r w:rsidRPr="00505D7B">
              <w:rPr>
                <w:rFonts w:ascii="Verdana" w:hAnsi="Verdana" w:cs="Times-Roman"/>
                <w:bCs/>
                <w:color w:val="19891C"/>
                <w:sz w:val="20"/>
                <w:szCs w:val="20"/>
                <w:u w:val="single"/>
              </w:rPr>
              <w:t>www.camberleyhealthcentre.nhs.uk</w:t>
            </w:r>
          </w:p>
        </w:tc>
      </w:tr>
    </w:tbl>
    <w:p w14:paraId="11904977" w14:textId="77777777" w:rsidR="00505D7B" w:rsidRDefault="00505D7B">
      <w:r>
        <w:rPr>
          <w:noProof/>
        </w:rPr>
        <w:drawing>
          <wp:anchor distT="0" distB="0" distL="114300" distR="114300" simplePos="0" relativeHeight="251658240" behindDoc="0" locked="0" layoutInCell="1" allowOverlap="1" wp14:anchorId="4CEC4D66" wp14:editId="76303EBE">
            <wp:simplePos x="0" y="0"/>
            <wp:positionH relativeFrom="column">
              <wp:posOffset>0</wp:posOffset>
            </wp:positionH>
            <wp:positionV relativeFrom="page">
              <wp:posOffset>685800</wp:posOffset>
            </wp:positionV>
            <wp:extent cx="1285200" cy="1285200"/>
            <wp:effectExtent l="0" t="0" r="0" b="0"/>
            <wp:wrapNone/>
            <wp:docPr id="3" name="Picture 2" descr="A picture containing colorfulness, office supplies, general supply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colorfulness, office supplies, general supply, de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2F04E" w14:textId="00F351A8" w:rsidR="0079118C" w:rsidRDefault="0079118C"/>
    <w:p w14:paraId="63A21080" w14:textId="77777777" w:rsidR="00F30B97" w:rsidRDefault="00F30B97"/>
    <w:p w14:paraId="08D2BE12" w14:textId="77777777" w:rsidR="00F30B97" w:rsidRDefault="00F30B97"/>
    <w:p w14:paraId="00A8CE8F" w14:textId="77777777" w:rsidR="00F30B97" w:rsidRDefault="00F30B97"/>
    <w:p w14:paraId="5B9BFE34" w14:textId="77777777" w:rsidR="00F30B97" w:rsidRDefault="00F30B97"/>
    <w:p w14:paraId="1ED25926" w14:textId="77777777" w:rsidR="00F30B97" w:rsidRDefault="00F30B97"/>
    <w:p w14:paraId="11C68C26" w14:textId="77777777" w:rsidR="00F30B97" w:rsidRDefault="00F30B97"/>
    <w:p w14:paraId="1C8C9FBE" w14:textId="77777777" w:rsidR="00686E53" w:rsidRDefault="00686E53"/>
    <w:p w14:paraId="03250AB1" w14:textId="2F7C1595" w:rsidR="00686E53" w:rsidRPr="00686E53" w:rsidRDefault="00686E53" w:rsidP="00686E53">
      <w:pPr>
        <w:jc w:val="center"/>
        <w:rPr>
          <w:b/>
          <w:bCs/>
          <w:color w:val="7F7F7F" w:themeColor="text1" w:themeTint="80"/>
          <w:sz w:val="28"/>
          <w:szCs w:val="28"/>
        </w:rPr>
      </w:pPr>
      <w:r w:rsidRPr="00686E53">
        <w:rPr>
          <w:b/>
          <w:bCs/>
          <w:color w:val="7F7F7F" w:themeColor="text1" w:themeTint="80"/>
          <w:sz w:val="28"/>
          <w:szCs w:val="28"/>
        </w:rPr>
        <w:t>Accessing treatment for Covid19 infection for patients at high risk</w:t>
      </w:r>
    </w:p>
    <w:p w14:paraId="1154531A" w14:textId="77777777" w:rsidR="00686E53" w:rsidRDefault="00686E53"/>
    <w:p w14:paraId="7545D231" w14:textId="304B708A" w:rsidR="00686E53" w:rsidRPr="00686E53" w:rsidRDefault="00686E53">
      <w:pPr>
        <w:rPr>
          <w:sz w:val="24"/>
          <w:szCs w:val="24"/>
        </w:rPr>
      </w:pPr>
      <w:r w:rsidRPr="00686E53">
        <w:rPr>
          <w:sz w:val="24"/>
          <w:szCs w:val="24"/>
        </w:rPr>
        <w:t xml:space="preserve">From 27 June 2023 if a patient who falls into one of the </w:t>
      </w:r>
      <w:r w:rsidRPr="00686E53">
        <w:rPr>
          <w:sz w:val="24"/>
          <w:szCs w:val="24"/>
        </w:rPr>
        <w:t>high-risk</w:t>
      </w:r>
      <w:r w:rsidRPr="00686E53">
        <w:rPr>
          <w:sz w:val="24"/>
          <w:szCs w:val="24"/>
        </w:rPr>
        <w:t xml:space="preserve"> subgroups, as defined by the </w:t>
      </w:r>
      <w:hyperlink r:id="rId7" w:history="1">
        <w:r w:rsidRPr="00686E53">
          <w:rPr>
            <w:rStyle w:val="Hyperlink"/>
            <w:sz w:val="24"/>
            <w:szCs w:val="24"/>
          </w:rPr>
          <w:t>Independent Advisory Group</w:t>
        </w:r>
      </w:hyperlink>
      <w:r w:rsidRPr="00686E53">
        <w:rPr>
          <w:sz w:val="24"/>
          <w:szCs w:val="24"/>
        </w:rPr>
        <w:t>, tests positive for COVID-19 they should call 03000 24 0000 for assessment and consideration of antiviral treatment. This number will be available 24 hours a day 7 days a week.</w:t>
      </w:r>
    </w:p>
    <w:p w14:paraId="530E72FB" w14:textId="77777777" w:rsidR="00686E53" w:rsidRDefault="00686E53"/>
    <w:p w14:paraId="6BF56DAA" w14:textId="77777777" w:rsidR="00686E53" w:rsidRDefault="00686E53"/>
    <w:sectPr w:rsidR="0068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E6DA" w14:textId="77777777" w:rsidR="00505D7B" w:rsidRDefault="00505D7B" w:rsidP="00505D7B">
      <w:r>
        <w:separator/>
      </w:r>
    </w:p>
  </w:endnote>
  <w:endnote w:type="continuationSeparator" w:id="0">
    <w:p w14:paraId="63F369F6" w14:textId="77777777" w:rsidR="00505D7B" w:rsidRDefault="00505D7B" w:rsidP="0050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FEEB" w14:textId="77777777" w:rsidR="00505D7B" w:rsidRDefault="00505D7B" w:rsidP="00505D7B">
      <w:r>
        <w:separator/>
      </w:r>
    </w:p>
  </w:footnote>
  <w:footnote w:type="continuationSeparator" w:id="0">
    <w:p w14:paraId="4A75D12F" w14:textId="77777777" w:rsidR="00505D7B" w:rsidRDefault="00505D7B" w:rsidP="00505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7B"/>
    <w:rsid w:val="00103E0B"/>
    <w:rsid w:val="00505D7B"/>
    <w:rsid w:val="00686E53"/>
    <w:rsid w:val="0079118C"/>
    <w:rsid w:val="00F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0701"/>
  <w15:chartTrackingRefBased/>
  <w15:docId w15:val="{DE132E45-8907-4D02-AF3F-76BB01A7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D7B"/>
    <w:rPr>
      <w:rFonts w:ascii="Cambria" w:eastAsia="Times New Roman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D7B"/>
  </w:style>
  <w:style w:type="paragraph" w:styleId="Footer">
    <w:name w:val="footer"/>
    <w:basedOn w:val="Normal"/>
    <w:link w:val="FooterChar"/>
    <w:uiPriority w:val="99"/>
    <w:unhideWhenUsed/>
    <w:rsid w:val="00505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7B"/>
  </w:style>
  <w:style w:type="character" w:styleId="Hyperlink">
    <w:name w:val="Hyperlink"/>
    <w:basedOn w:val="DefaultParagraphFont"/>
    <w:uiPriority w:val="99"/>
    <w:unhideWhenUsed/>
    <w:rsid w:val="00686E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higher-risk-patients-eligible-for-covid-19-treatments-independent-advisory-group-report-march-2023/defining-the-highest-risk-clinical-subgroups-upon-community-infection-with-sars-cov-2-when-considering-the-use-of-neutralising-monoclonal-antibod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Andrew (CAMBERLEY HEALTH CENTRE)</dc:creator>
  <cp:keywords/>
  <dc:description/>
  <cp:lastModifiedBy>COCHRANE, Andrew (CAMBERLEY HEALTH CENTRE)</cp:lastModifiedBy>
  <cp:revision>2</cp:revision>
  <dcterms:created xsi:type="dcterms:W3CDTF">2024-01-12T17:26:00Z</dcterms:created>
  <dcterms:modified xsi:type="dcterms:W3CDTF">2024-01-12T17:26:00Z</dcterms:modified>
</cp:coreProperties>
</file>